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7B67A44"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8A7DD9">
        <w:rPr>
          <w:rFonts w:cs="Arial"/>
          <w:b/>
          <w:sz w:val="22"/>
          <w:szCs w:val="22"/>
          <w:lang w:val="en-US"/>
        </w:rPr>
        <w:t>20</w:t>
      </w:r>
      <w:r w:rsidRPr="008D1868">
        <w:rPr>
          <w:rFonts w:cs="Arial"/>
          <w:b/>
          <w:i/>
          <w:sz w:val="22"/>
          <w:szCs w:val="22"/>
          <w:lang w:val="en-US"/>
        </w:rPr>
        <w:tab/>
      </w:r>
      <w:r w:rsidR="000B392F" w:rsidRPr="000B392F">
        <w:rPr>
          <w:rFonts w:cs="Arial"/>
          <w:b/>
          <w:i/>
          <w:sz w:val="22"/>
          <w:szCs w:val="22"/>
          <w:lang w:val="en-US" w:eastAsia="zh-CN"/>
        </w:rPr>
        <w:t>R2-22</w:t>
      </w:r>
      <w:r w:rsidR="008A7DD9">
        <w:rPr>
          <w:rFonts w:cs="Arial"/>
          <w:b/>
          <w:i/>
          <w:sz w:val="22"/>
          <w:szCs w:val="22"/>
          <w:lang w:val="en-US" w:eastAsia="zh-CN"/>
        </w:rPr>
        <w:t>1</w:t>
      </w:r>
      <w:r w:rsidR="00B36DB4">
        <w:rPr>
          <w:rFonts w:cs="Arial"/>
          <w:b/>
          <w:i/>
          <w:sz w:val="22"/>
          <w:szCs w:val="22"/>
          <w:lang w:val="en-US" w:eastAsia="zh-CN"/>
        </w:rPr>
        <w:t>1220</w:t>
      </w:r>
    </w:p>
    <w:p w14:paraId="540B9A86" w14:textId="6D1F7E1B" w:rsidR="00D0573B" w:rsidRDefault="008A7DD9">
      <w:pPr>
        <w:tabs>
          <w:tab w:val="left" w:pos="1701"/>
          <w:tab w:val="right" w:pos="9639"/>
        </w:tabs>
        <w:spacing w:after="0"/>
        <w:rPr>
          <w:rFonts w:cs="Arial"/>
          <w:b/>
          <w:color w:val="000000"/>
          <w:kern w:val="2"/>
          <w:sz w:val="24"/>
        </w:rPr>
      </w:pPr>
      <w:r>
        <w:rPr>
          <w:rFonts w:cs="Arial"/>
          <w:b/>
          <w:sz w:val="22"/>
          <w:szCs w:val="22"/>
          <w:lang w:val="en-US"/>
        </w:rPr>
        <w:t>Toulouse, France</w:t>
      </w:r>
      <w:r w:rsidR="00D0573B" w:rsidRPr="008D1868">
        <w:rPr>
          <w:rFonts w:cs="Arial"/>
          <w:b/>
          <w:sz w:val="22"/>
          <w:szCs w:val="22"/>
          <w:lang w:val="en-US"/>
        </w:rPr>
        <w:t xml:space="preserve">, </w:t>
      </w:r>
      <w:r>
        <w:rPr>
          <w:rFonts w:cs="Arial"/>
          <w:b/>
          <w:sz w:val="22"/>
          <w:szCs w:val="22"/>
          <w:lang w:val="en-US"/>
        </w:rPr>
        <w:t>November</w:t>
      </w:r>
      <w:r w:rsidR="00C749EF" w:rsidRPr="008D1868">
        <w:rPr>
          <w:rFonts w:cs="Arial"/>
          <w:b/>
          <w:sz w:val="22"/>
          <w:szCs w:val="22"/>
          <w:lang w:val="en-US"/>
        </w:rPr>
        <w:t xml:space="preserve"> </w:t>
      </w:r>
      <w:r w:rsidR="00D0573B" w:rsidRPr="008D1868">
        <w:rPr>
          <w:rFonts w:cs="Arial"/>
          <w:b/>
          <w:sz w:val="22"/>
          <w:szCs w:val="22"/>
          <w:lang w:val="en-US"/>
        </w:rPr>
        <w:t>202</w:t>
      </w:r>
      <w:r w:rsidR="006673DC">
        <w:rPr>
          <w:rFonts w:cs="Arial"/>
          <w:b/>
          <w:sz w:val="22"/>
          <w:szCs w:val="22"/>
          <w:lang w:val="en-US"/>
        </w:rPr>
        <w:t>2</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D5FEC6E" w:rsidR="00D0573B" w:rsidRDefault="00D0573B">
      <w:pPr>
        <w:pStyle w:val="3GPPHeader"/>
        <w:rPr>
          <w:sz w:val="22"/>
          <w:szCs w:val="22"/>
        </w:rPr>
      </w:pPr>
      <w:r w:rsidRPr="000575E5">
        <w:rPr>
          <w:sz w:val="22"/>
          <w:szCs w:val="22"/>
        </w:rPr>
        <w:t>Agenda Item:</w:t>
      </w:r>
      <w:r w:rsidRPr="000575E5">
        <w:rPr>
          <w:sz w:val="22"/>
          <w:szCs w:val="22"/>
        </w:rPr>
        <w:tab/>
      </w:r>
      <w:r w:rsidR="000B392F" w:rsidRPr="004E472B">
        <w:rPr>
          <w:sz w:val="22"/>
          <w:szCs w:val="22"/>
        </w:rPr>
        <w:t>6.24.1</w:t>
      </w:r>
      <w:r w:rsidR="00B36DB4">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3F366C09"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8A7DD9">
        <w:rPr>
          <w:sz w:val="22"/>
          <w:szCs w:val="22"/>
        </w:rPr>
        <w:t>FBG5</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3A84115"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8A7DD9">
        <w:rPr>
          <w:rFonts w:cs="Arial"/>
        </w:rPr>
        <w:t>left issue on FBG5</w:t>
      </w:r>
      <w:r w:rsidR="0029477E">
        <w:rPr>
          <w:rFonts w:cs="Arial"/>
        </w:rPr>
        <w:t>.</w:t>
      </w:r>
    </w:p>
    <w:p w14:paraId="179A131E" w14:textId="77777777" w:rsidR="008A7DD9" w:rsidRPr="00526089" w:rsidRDefault="008A7DD9" w:rsidP="008A7DD9">
      <w:pPr>
        <w:pStyle w:val="Agreement"/>
        <w:pBdr>
          <w:top w:val="single" w:sz="4" w:space="1" w:color="auto"/>
          <w:left w:val="single" w:sz="4" w:space="4" w:color="auto"/>
          <w:bottom w:val="single" w:sz="4" w:space="1" w:color="auto"/>
          <w:right w:val="single" w:sz="4" w:space="4" w:color="auto"/>
        </w:pBdr>
        <w:ind w:left="402" w:hangingChars="200" w:hanging="402"/>
        <w:rPr>
          <w:lang w:val="en-US" w:eastAsia="ja-JP"/>
        </w:rPr>
      </w:pPr>
      <w:r w:rsidRPr="00526089">
        <w:rPr>
          <w:lang w:val="en-US" w:eastAsia="ja-JP"/>
        </w:rPr>
        <w:t>RAN2 confirms the following RAN4 requirement for bandwidth class Fallback Group applies to the new FBG5.</w:t>
      </w:r>
    </w:p>
    <w:p w14:paraId="0CDC21EB" w14:textId="77777777" w:rsidR="008A7DD9" w:rsidRPr="00755B16" w:rsidRDefault="008A7DD9" w:rsidP="008A7DD9">
      <w:pPr>
        <w:pStyle w:val="Agreement"/>
        <w:numPr>
          <w:ilvl w:val="0"/>
          <w:numId w:val="0"/>
        </w:numPr>
        <w:pBdr>
          <w:top w:val="single" w:sz="4" w:space="1" w:color="auto"/>
          <w:left w:val="single" w:sz="4" w:space="4" w:color="auto"/>
          <w:bottom w:val="single" w:sz="4" w:space="1" w:color="auto"/>
          <w:right w:val="single" w:sz="4" w:space="4" w:color="auto"/>
        </w:pBdr>
        <w:ind w:left="402" w:hangingChars="200" w:hanging="402"/>
        <w:rPr>
          <w:lang w:eastAsia="ja-JP"/>
        </w:rPr>
      </w:pPr>
      <w:r w:rsidRPr="00526089">
        <w:rPr>
          <w:lang w:eastAsia="ja-JP"/>
        </w:rPr>
        <w:t>It is not mandatory for a UE to be able to fallback to lower order CA bandwidth class configuration that belong to a different fallback group</w:t>
      </w:r>
    </w:p>
    <w:p w14:paraId="740DFACD" w14:textId="77777777" w:rsidR="008A7DD9" w:rsidRDefault="008A7DD9" w:rsidP="008A7DD9">
      <w:pPr>
        <w:pStyle w:val="Agreement"/>
        <w:pBdr>
          <w:top w:val="single" w:sz="4" w:space="1" w:color="auto"/>
          <w:left w:val="single" w:sz="4" w:space="4" w:color="auto"/>
          <w:bottom w:val="single" w:sz="4" w:space="1" w:color="auto"/>
          <w:right w:val="single" w:sz="4" w:space="4" w:color="auto"/>
        </w:pBdr>
        <w:ind w:left="402" w:hangingChars="200" w:hanging="402"/>
        <w:rPr>
          <w:lang w:val="en-US" w:eastAsia="ja-JP"/>
        </w:rPr>
      </w:pPr>
      <w:r>
        <w:rPr>
          <w:lang w:val="en-US" w:eastAsia="ja-JP"/>
        </w:rPr>
        <w:t>A</w:t>
      </w:r>
      <w:r w:rsidRPr="00526089">
        <w:rPr>
          <w:lang w:val="en-US" w:eastAsia="ja-JP"/>
        </w:rPr>
        <w:t xml:space="preserve"> legacy gNB not supporting FBG5 ignores band combinations with bandwidth class of FBG5 in the reported UE capability.</w:t>
      </w:r>
    </w:p>
    <w:p w14:paraId="575B80C9" w14:textId="77777777" w:rsidR="008A7DD9" w:rsidRDefault="008A7DD9" w:rsidP="008A7DD9">
      <w:pPr>
        <w:pStyle w:val="Agreement"/>
        <w:pBdr>
          <w:top w:val="single" w:sz="4" w:space="1" w:color="auto"/>
          <w:left w:val="single" w:sz="4" w:space="4" w:color="auto"/>
          <w:bottom w:val="single" w:sz="4" w:space="1" w:color="auto"/>
          <w:right w:val="single" w:sz="4" w:space="4" w:color="auto"/>
        </w:pBdr>
        <w:ind w:left="402" w:hangingChars="200" w:hanging="402"/>
        <w:rPr>
          <w:lang w:val="en-US" w:eastAsia="ja-JP"/>
        </w:rPr>
      </w:pPr>
      <w:r w:rsidRPr="00526089">
        <w:rPr>
          <w:lang w:val="en-US" w:eastAsia="ja-JP"/>
        </w:rPr>
        <w:t xml:space="preserve">When the UE reports support for a band combination with FBG5 bandwidth class, it is up to the UE implementation to additionally report an entry </w:t>
      </w:r>
      <w:r w:rsidRPr="00B43906">
        <w:rPr>
          <w:lang w:val="en-US" w:eastAsia="ja-JP"/>
        </w:rPr>
        <w:t>of the same band combination with</w:t>
      </w:r>
      <w:r w:rsidRPr="00526089">
        <w:rPr>
          <w:lang w:val="en-US" w:eastAsia="ja-JP"/>
        </w:rPr>
        <w:t xml:space="preserve"> a legacy bandwi</w:t>
      </w:r>
      <w:r>
        <w:rPr>
          <w:lang w:val="en-US" w:eastAsia="ja-JP"/>
        </w:rPr>
        <w:t>d</w:t>
      </w:r>
      <w:r w:rsidRPr="00526089">
        <w:rPr>
          <w:lang w:val="en-US" w:eastAsia="ja-JP"/>
        </w:rPr>
        <w:t>th class, e.g. FBG2</w:t>
      </w:r>
      <w:r>
        <w:rPr>
          <w:lang w:val="en-US" w:eastAsia="ja-JP"/>
        </w:rPr>
        <w:t xml:space="preserve"> </w:t>
      </w:r>
    </w:p>
    <w:p w14:paraId="6C6871AA" w14:textId="77777777" w:rsidR="008A7DD9" w:rsidRDefault="008A7DD9" w:rsidP="008A7DD9">
      <w:pPr>
        <w:pStyle w:val="Agreement"/>
        <w:pBdr>
          <w:top w:val="single" w:sz="4" w:space="1" w:color="auto"/>
          <w:left w:val="single" w:sz="4" w:space="4" w:color="auto"/>
          <w:bottom w:val="single" w:sz="4" w:space="1" w:color="auto"/>
          <w:right w:val="single" w:sz="4" w:space="4" w:color="auto"/>
        </w:pBdr>
        <w:ind w:left="402" w:hangingChars="200" w:hanging="402"/>
        <w:rPr>
          <w:lang w:val="en-US" w:eastAsia="ja-JP"/>
        </w:rPr>
      </w:pPr>
      <w:r w:rsidRPr="00526089">
        <w:rPr>
          <w:lang w:val="en-US" w:eastAsia="ja-JP"/>
        </w:rPr>
        <w:t>From RAN2’s perspective, the UE supporting a band combination (e.g. CA_n46O) is not always required to support the same band combination with a fallback bandwidth class of the same FBG (e.g. CA_n46N). However, the UE may support such fallback according to the existing fallback band combination requirement, e.g. when the combinations of CC BWs defined for the band combinations are the same. No RAN2 specification change is necessary on this.</w:t>
      </w:r>
    </w:p>
    <w:bookmarkEnd w:id="5"/>
    <w:p w14:paraId="23312DF5" w14:textId="046A03D6" w:rsidR="00D0573B" w:rsidRDefault="007E5320" w:rsidP="005662A3">
      <w:pPr>
        <w:pStyle w:val="1"/>
        <w:ind w:left="720" w:hangingChars="200" w:hanging="720"/>
        <w:jc w:val="both"/>
      </w:pPr>
      <w:r>
        <w:t>Discussion</w:t>
      </w:r>
    </w:p>
    <w:p w14:paraId="7221C9EF" w14:textId="6F027FCB" w:rsidR="008A7DD9" w:rsidRDefault="008A7DD9" w:rsidP="008A7DD9">
      <w:r>
        <w:t>In R2-2211009, the following left issues are listed</w:t>
      </w:r>
    </w:p>
    <w:p w14:paraId="2AE890C0" w14:textId="77777777" w:rsidR="008A7DD9" w:rsidRDefault="008A7DD9" w:rsidP="008A7DD9">
      <w:pPr>
        <w:pBdr>
          <w:top w:val="single" w:sz="4" w:space="1" w:color="auto"/>
          <w:left w:val="single" w:sz="4" w:space="4" w:color="auto"/>
          <w:bottom w:val="single" w:sz="4" w:space="1" w:color="auto"/>
          <w:right w:val="single" w:sz="4" w:space="4" w:color="auto"/>
        </w:pBdr>
        <w:ind w:left="440" w:hangingChars="200" w:hanging="440"/>
        <w:rPr>
          <w:rFonts w:eastAsiaTheme="minorEastAsia"/>
          <w:sz w:val="22"/>
          <w:szCs w:val="22"/>
          <w:lang w:val="en-US" w:eastAsia="ja-JP"/>
        </w:rPr>
      </w:pPr>
      <w:r>
        <w:rPr>
          <w:rFonts w:eastAsiaTheme="minorEastAsia"/>
          <w:b/>
          <w:bCs/>
          <w:sz w:val="22"/>
          <w:szCs w:val="22"/>
          <w:lang w:val="en-US" w:eastAsia="ja-JP"/>
        </w:rPr>
        <w:t>Proposal 5:</w:t>
      </w:r>
      <w:r>
        <w:rPr>
          <w:rFonts w:eastAsiaTheme="minorEastAsia"/>
          <w:b/>
          <w:bCs/>
          <w:sz w:val="22"/>
          <w:szCs w:val="22"/>
          <w:lang w:val="en-US" w:eastAsia="ja-JP"/>
        </w:rPr>
        <w:tab/>
      </w:r>
      <w:r w:rsidRPr="00755B16">
        <w:rPr>
          <w:rFonts w:eastAsiaTheme="minorEastAsia"/>
          <w:sz w:val="22"/>
          <w:szCs w:val="22"/>
          <w:lang w:val="en-US" w:eastAsia="ja-JP"/>
        </w:rPr>
        <w:t>RAN2 to further discuss the following points</w:t>
      </w:r>
    </w:p>
    <w:p w14:paraId="3705E852" w14:textId="77777777" w:rsidR="008A7DD9" w:rsidRPr="00755B16" w:rsidRDefault="008A7DD9" w:rsidP="008A7DD9">
      <w:pPr>
        <w:pStyle w:val="af7"/>
        <w:numPr>
          <w:ilvl w:val="0"/>
          <w:numId w:val="39"/>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left"/>
        <w:textAlignment w:val="auto"/>
        <w:rPr>
          <w:rFonts w:ascii="Times New Roman" w:eastAsiaTheme="minorEastAsia" w:hAnsi="Times New Roman"/>
          <w:lang w:eastAsia="ja-JP"/>
        </w:rPr>
      </w:pPr>
      <w:r w:rsidRPr="00755B16">
        <w:rPr>
          <w:rFonts w:ascii="Times New Roman" w:eastAsiaTheme="minorEastAsia" w:hAnsi="Times New Roman"/>
          <w:lang w:eastAsia="ja-JP"/>
        </w:rPr>
        <w:t>Interaction between RAN2’s “fallback band combination” concept and RAN4’s bandwidth class “fallback group” concept, e.g.</w:t>
      </w:r>
    </w:p>
    <w:p w14:paraId="78AE7212" w14:textId="77777777" w:rsidR="008A7DD9" w:rsidRPr="00755B16" w:rsidRDefault="008A7DD9" w:rsidP="008A7DD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left"/>
        <w:textAlignment w:val="auto"/>
        <w:rPr>
          <w:rFonts w:ascii="Times New Roman" w:eastAsiaTheme="minorEastAsia" w:hAnsi="Times New Roman"/>
          <w:lang w:eastAsia="ja-JP"/>
        </w:rPr>
      </w:pPr>
      <w:r w:rsidRPr="00755B16">
        <w:rPr>
          <w:rFonts w:ascii="Times New Roman" w:eastAsiaTheme="minorEastAsia" w:hAnsi="Times New Roman"/>
          <w:lang w:eastAsia="ja-JP"/>
        </w:rPr>
        <w:t>What the UE is required to support and/or report for fallback band combinations/fall back bandwidth classes.</w:t>
      </w:r>
    </w:p>
    <w:p w14:paraId="575B0609" w14:textId="77777777" w:rsidR="008A7DD9" w:rsidRPr="00755B16" w:rsidRDefault="008A7DD9" w:rsidP="008A7DD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left"/>
        <w:textAlignment w:val="auto"/>
        <w:rPr>
          <w:rFonts w:ascii="Times New Roman" w:eastAsiaTheme="minorEastAsia" w:hAnsi="Times New Roman"/>
          <w:lang w:eastAsia="ja-JP"/>
        </w:rPr>
      </w:pPr>
      <w:r w:rsidRPr="00755B16">
        <w:rPr>
          <w:rFonts w:ascii="Times New Roman" w:eastAsiaTheme="minorEastAsia" w:hAnsi="Times New Roman"/>
          <w:lang w:eastAsia="ja-JP"/>
        </w:rPr>
        <w:t>What the UE is allowed to report for fallback band combinations/fallback bandwidth classes.</w:t>
      </w:r>
    </w:p>
    <w:p w14:paraId="5A037DE1" w14:textId="77777777" w:rsidR="008A7DD9" w:rsidRPr="00755B16" w:rsidRDefault="008A7DD9" w:rsidP="008A7DD9">
      <w:pPr>
        <w:pStyle w:val="af7"/>
        <w:numPr>
          <w:ilvl w:val="0"/>
          <w:numId w:val="39"/>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left"/>
        <w:textAlignment w:val="auto"/>
        <w:rPr>
          <w:rFonts w:ascii="Times New Roman" w:eastAsiaTheme="minorEastAsia" w:hAnsi="Times New Roman"/>
          <w:lang w:eastAsia="ja-JP"/>
        </w:rPr>
      </w:pPr>
      <w:r w:rsidRPr="00755B16">
        <w:rPr>
          <w:rFonts w:ascii="Times New Roman" w:eastAsiaTheme="minorEastAsia" w:hAnsi="Times New Roman"/>
          <w:lang w:eastAsia="ja-JP"/>
        </w:rPr>
        <w:t>Additional questions for clarification on RAN4’s FBG5 definition.</w:t>
      </w:r>
    </w:p>
    <w:p w14:paraId="4DED7D31" w14:textId="710D2DD4" w:rsidR="008A7DD9" w:rsidRDefault="008A7DD9" w:rsidP="008A7DD9">
      <w:r>
        <w:t>There was some debate on the interaction between R2 ‘fallback BC’ and R4 ‘fallback group’, whether they are compatible, when it comes to FBG5.</w:t>
      </w:r>
    </w:p>
    <w:p w14:paraId="21A41827" w14:textId="5BBA6517" w:rsidR="008A7DD9" w:rsidRDefault="008A7DD9" w:rsidP="008A7DD9">
      <w:r>
        <w:t xml:space="preserve">We understand they are compatible, since the two address different issues. </w:t>
      </w:r>
    </w:p>
    <w:p w14:paraId="0FAD9123" w14:textId="18C50703" w:rsidR="008A7DD9" w:rsidRDefault="008A7DD9" w:rsidP="008A7DD9">
      <w:pPr>
        <w:pStyle w:val="af7"/>
        <w:numPr>
          <w:ilvl w:val="0"/>
          <w:numId w:val="44"/>
        </w:numPr>
        <w:contextualSpacing w:val="0"/>
      </w:pPr>
      <w:r>
        <w:rPr>
          <w:rFonts w:hint="eastAsia"/>
        </w:rPr>
        <w:t>R</w:t>
      </w:r>
      <w:r>
        <w:t>2 fallback BC focuses on BW-combination, i.e., if the supported BW-combination of BC-1 is the subset of BW-combina</w:t>
      </w:r>
      <w:r w:rsidR="002A715F">
        <w:t>t</w:t>
      </w:r>
      <w:r>
        <w:t>ion of BC-2, UE can save the reporting of BC-1.</w:t>
      </w:r>
    </w:p>
    <w:p w14:paraId="4F4014FE" w14:textId="07C372D0" w:rsidR="008A7DD9" w:rsidRDefault="008A7DD9" w:rsidP="008A7DD9">
      <w:pPr>
        <w:pStyle w:val="af7"/>
        <w:numPr>
          <w:ilvl w:val="0"/>
          <w:numId w:val="44"/>
        </w:numPr>
        <w:contextualSpacing w:val="0"/>
      </w:pPr>
      <w:r>
        <w:rPr>
          <w:rFonts w:hint="eastAsia"/>
        </w:rPr>
        <w:t>R</w:t>
      </w:r>
      <w:r>
        <w:t>4 fallback group focuses on BW-class, i.e., if a band-entry of BC-1 support</w:t>
      </w:r>
      <w:r w:rsidR="002A715F">
        <w:t>s</w:t>
      </w:r>
      <w:r>
        <w:t xml:space="preserve"> a higher BW-class, the concerned band-entry of BC-1 also support</w:t>
      </w:r>
      <w:r w:rsidR="002A715F">
        <w:t>s</w:t>
      </w:r>
      <w:r>
        <w:t xml:space="preserve"> the lower BW-class in the same FBG. But this does not mean the UE support all the BW-combination, that R4 defines, for the BC-2 which is of the lower BW-class of the concerned band-entry.</w:t>
      </w:r>
    </w:p>
    <w:p w14:paraId="490DA4B0" w14:textId="0D00247A" w:rsidR="008A7DD9" w:rsidRDefault="008A7DD9" w:rsidP="008A7DD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17866386"/>
      <w:r>
        <w:rPr>
          <w:rFonts w:hint="eastAsia"/>
        </w:rPr>
        <w:lastRenderedPageBreak/>
        <w:t>R</w:t>
      </w:r>
      <w:r>
        <w:t xml:space="preserve">2 confirm the </w:t>
      </w:r>
      <w:r w:rsidRPr="008A7DD9">
        <w:t>RAN2’s “fallback band combination” concept and RAN4’s “fallback group” concept (including FBG5) are independent and thus not colliding with each other, as in legacy</w:t>
      </w:r>
      <w:r>
        <w:t>.</w:t>
      </w:r>
      <w:bookmarkEnd w:id="6"/>
    </w:p>
    <w:p w14:paraId="021E4BB1" w14:textId="70A7DE24" w:rsidR="008A7DD9" w:rsidRDefault="008A7DD9" w:rsidP="008A7DD9">
      <w:r>
        <w:rPr>
          <w:rFonts w:hint="eastAsia"/>
        </w:rPr>
        <w:t>W</w:t>
      </w:r>
      <w:r>
        <w:t>hen it comes to the FBG5, the delta part mainly comes from the necessity of the new IE “</w:t>
      </w:r>
      <w:r w:rsidRPr="008A7DD9">
        <w:t>maximum aggregated BW limitation</w:t>
      </w:r>
      <w:r>
        <w:t>”.</w:t>
      </w:r>
    </w:p>
    <w:p w14:paraId="7301F878" w14:textId="23025967" w:rsidR="008A7DD9" w:rsidRDefault="008A7DD9" w:rsidP="008A7DD9">
      <w:r>
        <w:rPr>
          <w:rFonts w:hint="eastAsia"/>
        </w:rPr>
        <w:t>I</w:t>
      </w:r>
      <w:r>
        <w:t>n R2-2211009, it is summarized that</w:t>
      </w:r>
    </w:p>
    <w:p w14:paraId="21C4F20B" w14:textId="14F1B503"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hint="eastAsia"/>
          <w:lang w:eastAsia="ja-JP"/>
        </w:rPr>
        <w:t>Let</w:t>
      </w:r>
      <w:r w:rsidRPr="008A7DD9">
        <w:rPr>
          <w:rFonts w:eastAsiaTheme="minorEastAsia"/>
        </w:rPr>
        <w:t>’</w:t>
      </w:r>
      <w:r w:rsidRPr="008A7DD9">
        <w:rPr>
          <w:rFonts w:eastAsiaTheme="minorEastAsia" w:hint="eastAsia"/>
          <w:lang w:eastAsia="ja-JP"/>
        </w:rPr>
        <w:t xml:space="preserve">s take an example </w:t>
      </w:r>
      <w:r w:rsidRPr="008A7DD9">
        <w:rPr>
          <w:rFonts w:eastAsiaTheme="minorEastAsia"/>
          <w:lang w:eastAsia="ja-JP"/>
        </w:rPr>
        <w:t>for the case the UE supports bandwidth</w:t>
      </w:r>
      <w:r w:rsidRPr="008A7DD9">
        <w:rPr>
          <w:rFonts w:eastAsiaTheme="minorEastAsia" w:hint="eastAsia"/>
          <w:lang w:eastAsia="ja-JP"/>
        </w:rPr>
        <w:t xml:space="preserve"> class R6 (600MHz </w:t>
      </w:r>
      <w:r w:rsidRPr="008A7DD9">
        <w:rPr>
          <w:rFonts w:eastAsiaTheme="minorEastAsia" w:hint="eastAsia"/>
          <w:lang w:eastAsia="ja-JP"/>
        </w:rPr>
        <w:t>≤</w:t>
      </w:r>
      <w:r w:rsidRPr="008A7DD9">
        <w:rPr>
          <w:rFonts w:eastAsiaTheme="minorEastAsia" w:hint="eastAsia"/>
          <w:lang w:eastAsia="ja-JP"/>
        </w:rPr>
        <w:t xml:space="preserve"> BWChannel_CA </w:t>
      </w:r>
      <w:r w:rsidRPr="008A7DD9">
        <w:rPr>
          <w:rFonts w:eastAsiaTheme="minorEastAsia" w:hint="eastAsia"/>
          <w:lang w:eastAsia="ja-JP"/>
        </w:rPr>
        <w:t>≤</w:t>
      </w:r>
      <w:r w:rsidRPr="008A7DD9">
        <w:rPr>
          <w:rFonts w:eastAsiaTheme="minorEastAsia" w:hint="eastAsia"/>
          <w:lang w:eastAsia="ja-JP"/>
        </w:rPr>
        <w:t xml:space="preserve"> 1200MHz, 6CCs).</w:t>
      </w:r>
    </w:p>
    <w:p w14:paraId="1B865B9A" w14:textId="77777777"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lang w:eastAsia="ja-JP"/>
        </w:rPr>
        <w:t>In the existing UE capability framework, the UE can signal the following CC/bandwidth combinations, by means of feature sets (and feature sets per CC therein).</w:t>
      </w:r>
    </w:p>
    <w:p w14:paraId="0C74E0FD" w14:textId="77777777" w:rsidR="008A7DD9" w:rsidRPr="008A7DD9" w:rsidRDefault="008A7DD9" w:rsidP="008A7DD9">
      <w:pPr>
        <w:pStyle w:val="af7"/>
        <w:numPr>
          <w:ilvl w:val="0"/>
          <w:numId w:val="42"/>
        </w:numPr>
        <w:pBdr>
          <w:top w:val="single" w:sz="4" w:space="1" w:color="auto"/>
          <w:left w:val="single" w:sz="4" w:space="4" w:color="auto"/>
          <w:bottom w:val="single" w:sz="4" w:space="1" w:color="auto"/>
          <w:right w:val="single" w:sz="4" w:space="4" w:color="auto"/>
        </w:pBdr>
        <w:contextualSpacing w:val="0"/>
        <w:rPr>
          <w:rFonts w:eastAsiaTheme="minorEastAsia"/>
          <w:lang w:eastAsia="ja-JP"/>
        </w:rPr>
      </w:pPr>
      <w:r w:rsidRPr="008A7DD9">
        <w:rPr>
          <w:rFonts w:eastAsiaTheme="minorEastAsia"/>
          <w:lang w:eastAsia="ja-JP"/>
        </w:rPr>
        <w:t>6x100MHz</w:t>
      </w:r>
    </w:p>
    <w:p w14:paraId="7AE80CAB" w14:textId="77777777" w:rsidR="008A7DD9" w:rsidRPr="008A7DD9" w:rsidRDefault="008A7DD9" w:rsidP="008A7DD9">
      <w:pPr>
        <w:pStyle w:val="af7"/>
        <w:numPr>
          <w:ilvl w:val="0"/>
          <w:numId w:val="42"/>
        </w:numPr>
        <w:pBdr>
          <w:top w:val="single" w:sz="4" w:space="1" w:color="auto"/>
          <w:left w:val="single" w:sz="4" w:space="4" w:color="auto"/>
          <w:bottom w:val="single" w:sz="4" w:space="1" w:color="auto"/>
          <w:right w:val="single" w:sz="4" w:space="4" w:color="auto"/>
        </w:pBdr>
        <w:contextualSpacing w:val="0"/>
        <w:rPr>
          <w:rFonts w:eastAsiaTheme="minorEastAsia"/>
          <w:lang w:eastAsia="ja-JP"/>
        </w:rPr>
      </w:pPr>
      <w:r w:rsidRPr="008A7DD9">
        <w:rPr>
          <w:rFonts w:eastAsiaTheme="minorEastAsia"/>
          <w:lang w:eastAsia="ja-JP"/>
        </w:rPr>
        <w:t>4x100MHz + 1x200MHz</w:t>
      </w:r>
    </w:p>
    <w:p w14:paraId="333AF641" w14:textId="77777777" w:rsidR="008A7DD9" w:rsidRPr="008A7DD9" w:rsidRDefault="008A7DD9" w:rsidP="008A7DD9">
      <w:pPr>
        <w:pStyle w:val="af7"/>
        <w:numPr>
          <w:ilvl w:val="0"/>
          <w:numId w:val="42"/>
        </w:numPr>
        <w:pBdr>
          <w:top w:val="single" w:sz="4" w:space="1" w:color="auto"/>
          <w:left w:val="single" w:sz="4" w:space="4" w:color="auto"/>
          <w:bottom w:val="single" w:sz="4" w:space="1" w:color="auto"/>
          <w:right w:val="single" w:sz="4" w:space="4" w:color="auto"/>
        </w:pBdr>
        <w:contextualSpacing w:val="0"/>
        <w:rPr>
          <w:rFonts w:eastAsiaTheme="minorEastAsia"/>
          <w:lang w:eastAsia="ja-JP"/>
        </w:rPr>
      </w:pPr>
      <w:r w:rsidRPr="008A7DD9">
        <w:rPr>
          <w:rFonts w:eastAsiaTheme="minorEastAsia"/>
          <w:lang w:eastAsia="ja-JP"/>
        </w:rPr>
        <w:t>2x100MHz + 2x200MHz</w:t>
      </w:r>
    </w:p>
    <w:p w14:paraId="7805F872" w14:textId="77777777" w:rsidR="008A7DD9" w:rsidRPr="008A7DD9" w:rsidRDefault="008A7DD9" w:rsidP="008A7DD9">
      <w:pPr>
        <w:pStyle w:val="af7"/>
        <w:numPr>
          <w:ilvl w:val="0"/>
          <w:numId w:val="42"/>
        </w:numPr>
        <w:pBdr>
          <w:top w:val="single" w:sz="4" w:space="1" w:color="auto"/>
          <w:left w:val="single" w:sz="4" w:space="4" w:color="auto"/>
          <w:bottom w:val="single" w:sz="4" w:space="1" w:color="auto"/>
          <w:right w:val="single" w:sz="4" w:space="4" w:color="auto"/>
        </w:pBdr>
        <w:contextualSpacing w:val="0"/>
        <w:rPr>
          <w:rFonts w:eastAsiaTheme="minorEastAsia"/>
          <w:lang w:eastAsia="ja-JP"/>
        </w:rPr>
      </w:pPr>
      <w:r w:rsidRPr="008A7DD9">
        <w:rPr>
          <w:rFonts w:eastAsiaTheme="minorEastAsia"/>
          <w:lang w:eastAsia="ja-JP"/>
        </w:rPr>
        <w:t>3x200MHz</w:t>
      </w:r>
    </w:p>
    <w:p w14:paraId="18192FA4" w14:textId="77777777"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lang w:eastAsia="ja-JP"/>
        </w:rPr>
        <w:t>The cases 1, 2, 3 and 4 correspond to bandwidth classes R6, R5, R4 and R3 respectively. Note that they are all 600MHz in terms of the aggregated CA bandwidth. So the UE is indicating the capabilities for R6 and its fallback bandwidth classes while keeping the aggregated CA bandwidth to its supported maximum. It should be noted that the UE also supports R2 as a fallback CA of case 4.</w:t>
      </w:r>
    </w:p>
    <w:p w14:paraId="194574BB" w14:textId="77777777"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lang w:eastAsia="ja-JP"/>
        </w:rPr>
        <w:t xml:space="preserve">The key idea of RAN4 solution is reduce the number of CC/bandwidth combinations (feature sets) </w:t>
      </w:r>
      <w:r w:rsidRPr="008A7DD9">
        <w:rPr>
          <w:rFonts w:eastAsiaTheme="minorEastAsia"/>
          <w:highlight w:val="green"/>
          <w:lang w:eastAsia="ja-JP"/>
        </w:rPr>
        <w:t>for the case other UE capabilities except for CC bandwidth within the feature set are the same for all CCs</w:t>
      </w:r>
      <w:r w:rsidRPr="008A7DD9">
        <w:rPr>
          <w:rFonts w:eastAsiaTheme="minorEastAsia"/>
          <w:lang w:eastAsia="ja-JP"/>
        </w:rPr>
        <w:t>. In that case, it is possible to declare the UE capability with a single feature set by additionally indicating maximum aggregated bandwidth, as follows.</w:t>
      </w:r>
    </w:p>
    <w:p w14:paraId="189BEEB8" w14:textId="77777777"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lang w:eastAsia="ja-JP"/>
        </w:rPr>
        <w:t>a.</w:t>
      </w:r>
      <w:r w:rsidRPr="008A7DD9">
        <w:rPr>
          <w:rFonts w:eastAsiaTheme="minorEastAsia"/>
          <w:lang w:eastAsia="ja-JP"/>
        </w:rPr>
        <w:tab/>
      </w:r>
      <w:r w:rsidRPr="008A7DD9">
        <w:rPr>
          <w:rFonts w:eastAsiaTheme="minorEastAsia"/>
          <w:highlight w:val="cyan"/>
          <w:lang w:eastAsia="ja-JP"/>
        </w:rPr>
        <w:t>6x200MHz / Maximum aggregated bandwidth =600MHz</w:t>
      </w:r>
    </w:p>
    <w:p w14:paraId="3121D8F1" w14:textId="77777777" w:rsidR="008A7DD9" w:rsidRPr="008A7DD9" w:rsidRDefault="008A7DD9" w:rsidP="008A7DD9">
      <w:pPr>
        <w:pBdr>
          <w:top w:val="single" w:sz="4" w:space="1" w:color="auto"/>
          <w:left w:val="single" w:sz="4" w:space="4" w:color="auto"/>
          <w:bottom w:val="single" w:sz="4" w:space="1" w:color="auto"/>
          <w:right w:val="single" w:sz="4" w:space="4" w:color="auto"/>
        </w:pBdr>
        <w:rPr>
          <w:rFonts w:eastAsiaTheme="minorEastAsia"/>
          <w:lang w:eastAsia="ja-JP"/>
        </w:rPr>
      </w:pPr>
      <w:r w:rsidRPr="008A7DD9">
        <w:rPr>
          <w:rFonts w:eastAsiaTheme="minorEastAsia"/>
          <w:lang w:eastAsia="ja-JP"/>
        </w:rPr>
        <w:t>The network can configure any CC bandwidth as long as it satisfies both the maximum CC bandwidth and the maximum aggregated bandwidth limitations as signalled by the UE. It can be seen that the new signalling covers all cases 1 to 4 above (bandwidth classes R6, R5, R4 and R3) and 2x200MHz (R2).</w:t>
      </w:r>
    </w:p>
    <w:p w14:paraId="2C2C7965" w14:textId="71A8D54A" w:rsidR="008A7DD9" w:rsidRDefault="008A7DD9" w:rsidP="008A7DD9">
      <w:r>
        <w:rPr>
          <w:rFonts w:hint="eastAsia"/>
        </w:rPr>
        <w:t>I</w:t>
      </w:r>
      <w:r>
        <w:t>n our view, the key is that</w:t>
      </w:r>
    </w:p>
    <w:p w14:paraId="750B6593" w14:textId="70184823" w:rsidR="008A7DD9" w:rsidRDefault="008A7DD9" w:rsidP="008A7DD9">
      <w:pPr>
        <w:pStyle w:val="af7"/>
        <w:numPr>
          <w:ilvl w:val="0"/>
          <w:numId w:val="43"/>
        </w:numPr>
        <w:contextualSpacing w:val="0"/>
      </w:pPr>
      <w:r>
        <w:t>I</w:t>
      </w:r>
      <w:r>
        <w:rPr>
          <w:rFonts w:hint="eastAsia"/>
        </w:rPr>
        <w:t>f</w:t>
      </w:r>
      <w:r>
        <w:t xml:space="preserve"> </w:t>
      </w:r>
      <w:r>
        <w:rPr>
          <w:rFonts w:hint="eastAsia"/>
        </w:rPr>
        <w:t>one</w:t>
      </w:r>
      <w:r>
        <w:t xml:space="preserve"> believe</w:t>
      </w:r>
      <w:r w:rsidR="002A715F">
        <w:t>s</w:t>
      </w:r>
      <w:r>
        <w:t xml:space="preserve"> there is </w:t>
      </w:r>
      <w:r w:rsidRPr="008A7DD9">
        <w:rPr>
          <w:highlight w:val="green"/>
        </w:rPr>
        <w:t>such</w:t>
      </w:r>
      <w:r>
        <w:t xml:space="preserve"> case, this method suggested by R4 can save the number of FSC, since a single FSC as </w:t>
      </w:r>
      <w:r w:rsidRPr="008A7DD9">
        <w:rPr>
          <w:highlight w:val="cyan"/>
        </w:rPr>
        <w:t>above</w:t>
      </w:r>
      <w:r>
        <w:t xml:space="preserve"> is sufficient. </w:t>
      </w:r>
    </w:p>
    <w:p w14:paraId="6FB0E8AD" w14:textId="7B53DBCE" w:rsidR="008A7DD9" w:rsidRDefault="008A7DD9" w:rsidP="008A7DD9">
      <w:pPr>
        <w:pStyle w:val="af7"/>
        <w:numPr>
          <w:ilvl w:val="0"/>
          <w:numId w:val="43"/>
        </w:numPr>
        <w:contextualSpacing w:val="0"/>
      </w:pPr>
      <w:r>
        <w:rPr>
          <w:rFonts w:hint="eastAsia"/>
        </w:rPr>
        <w:t>I</w:t>
      </w:r>
      <w:r>
        <w:t xml:space="preserve">f one does not believe there is </w:t>
      </w:r>
      <w:r w:rsidRPr="008A7DD9">
        <w:rPr>
          <w:highlight w:val="green"/>
        </w:rPr>
        <w:t>such</w:t>
      </w:r>
      <w:r>
        <w:t xml:space="preserve"> case, or one believes such case is not typical enough, one may argue against the motivation of pursuing the new IE “</w:t>
      </w:r>
      <w:r w:rsidRPr="008A7DD9">
        <w:t>maximum aggregated BW limitation</w:t>
      </w:r>
      <w:r>
        <w:t>”.</w:t>
      </w:r>
    </w:p>
    <w:p w14:paraId="480E50C7" w14:textId="12FB6FEB" w:rsidR="008A7DD9" w:rsidRDefault="008A7DD9" w:rsidP="008A7DD9">
      <w:pPr>
        <w:rPr>
          <w:rFonts w:eastAsiaTheme="minorEastAsia"/>
          <w:lang w:eastAsia="ja-JP"/>
        </w:rPr>
      </w:pPr>
      <w:r>
        <w:rPr>
          <w:rFonts w:hint="eastAsia"/>
        </w:rPr>
        <w:t>Y</w:t>
      </w:r>
      <w:r>
        <w:t xml:space="preserve">et it should be clarified that, even if when there is a case that </w:t>
      </w:r>
      <w:r w:rsidRPr="008A7DD9">
        <w:rPr>
          <w:rFonts w:eastAsiaTheme="minorEastAsia"/>
          <w:lang w:eastAsia="ja-JP"/>
        </w:rPr>
        <w:t xml:space="preserve">other UE capabilities except for CC bandwidth within the feature set are </w:t>
      </w:r>
      <w:r w:rsidRPr="008A7DD9">
        <w:rPr>
          <w:rFonts w:eastAsiaTheme="minorEastAsia"/>
          <w:b/>
          <w:bCs/>
          <w:lang w:eastAsia="ja-JP"/>
        </w:rPr>
        <w:t>NOT</w:t>
      </w:r>
      <w:r w:rsidRPr="008A7DD9">
        <w:rPr>
          <w:rFonts w:eastAsiaTheme="minorEastAsia"/>
          <w:lang w:eastAsia="ja-JP"/>
        </w:rPr>
        <w:t xml:space="preserve"> same for all CCs</w:t>
      </w:r>
      <w:r>
        <w:rPr>
          <w:rFonts w:eastAsiaTheme="minorEastAsia"/>
          <w:lang w:eastAsia="ja-JP"/>
        </w:rPr>
        <w:t xml:space="preserve">, based on the current signaling framework, UE can still use multiple FSC to report the capability, using the same BC entry. </w:t>
      </w:r>
    </w:p>
    <w:p w14:paraId="5301336E" w14:textId="4931EAA7" w:rsidR="008A7DD9" w:rsidRDefault="008A7DD9" w:rsidP="008A7DD9">
      <w:pPr>
        <w:rPr>
          <w:rFonts w:eastAsiaTheme="minorEastAsia"/>
        </w:rPr>
      </w:pPr>
      <w:r>
        <w:rPr>
          <w:rFonts w:eastAsiaTheme="minorEastAsia" w:hint="eastAsia"/>
        </w:rPr>
        <w:t>S</w:t>
      </w:r>
      <w:r>
        <w:rPr>
          <w:rFonts w:eastAsiaTheme="minorEastAsia"/>
        </w:rPr>
        <w:t>o to answer the R4 question that</w:t>
      </w:r>
    </w:p>
    <w:p w14:paraId="341C507A" w14:textId="77777777" w:rsidR="008A7DD9" w:rsidRDefault="008A7DD9" w:rsidP="008A7DD9">
      <w:pPr>
        <w:pBdr>
          <w:top w:val="single" w:sz="4" w:space="1" w:color="auto"/>
          <w:left w:val="single" w:sz="4" w:space="4" w:color="auto"/>
          <w:bottom w:val="single" w:sz="4" w:space="1" w:color="auto"/>
          <w:right w:val="single" w:sz="4" w:space="4" w:color="auto"/>
        </w:pBdr>
        <w:rPr>
          <w:rFonts w:cs="Arial"/>
          <w:b/>
        </w:rPr>
      </w:pPr>
      <w:r>
        <w:rPr>
          <w:rFonts w:cs="Arial"/>
          <w:bCs/>
          <w:sz w:val="18"/>
          <w:szCs w:val="18"/>
        </w:rPr>
        <w:t>RAN4 defers to RAN2’s decision on whether to introduce an IE as proposed above depending on feasibility and benefit.</w:t>
      </w:r>
    </w:p>
    <w:p w14:paraId="065E72FC" w14:textId="6E9457DB" w:rsidR="008A7DD9" w:rsidRPr="008A7DD9" w:rsidRDefault="008A7DD9" w:rsidP="008A7DD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17866387"/>
      <w:r>
        <w:t>R2 further discuss whether to introduce FBG5 with or without the IE of ‘</w:t>
      </w:r>
      <w:r w:rsidRPr="008A7DD9">
        <w:t>maximum aggregated BW limitation</w:t>
      </w:r>
      <w:r>
        <w:t xml:space="preserve">’ based on </w:t>
      </w:r>
      <w:r w:rsidR="002A715F">
        <w:t xml:space="preserve">the </w:t>
      </w:r>
      <w:r>
        <w:t>evaluation on benefit, with the understanding that both are feasible based on the current R2 signaling framework.</w:t>
      </w:r>
      <w:bookmarkEnd w:id="7"/>
      <w:r>
        <w:t xml:space="preserve"> </w:t>
      </w:r>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0DAC5B9F" w14:textId="2EBCBAB8" w:rsidR="002A715F"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7866386" w:history="1">
        <w:r w:rsidR="002A715F" w:rsidRPr="00D0385A">
          <w:rPr>
            <w:rStyle w:val="a5"/>
            <w:noProof/>
          </w:rPr>
          <w:t>Proposal 1</w:t>
        </w:r>
        <w:r w:rsidR="002A715F">
          <w:rPr>
            <w:rFonts w:asciiTheme="minorHAnsi" w:eastAsiaTheme="minorEastAsia" w:hAnsiTheme="minorHAnsi" w:cstheme="minorBidi"/>
            <w:b w:val="0"/>
            <w:noProof/>
            <w:kern w:val="2"/>
            <w:sz w:val="21"/>
          </w:rPr>
          <w:tab/>
        </w:r>
        <w:r w:rsidR="002A715F" w:rsidRPr="00D0385A">
          <w:rPr>
            <w:rStyle w:val="a5"/>
            <w:noProof/>
          </w:rPr>
          <w:t>R2 confirm the RAN2’s “fallback band combination” concept and RAN4’s “fallback group” concept (including FBG5) are independent and thus not colliding with each other, as in legacy.</w:t>
        </w:r>
      </w:hyperlink>
    </w:p>
    <w:p w14:paraId="28439424" w14:textId="43D4AE79" w:rsidR="002A715F" w:rsidRDefault="00000000">
      <w:pPr>
        <w:pStyle w:val="TOC1"/>
        <w:rPr>
          <w:rFonts w:asciiTheme="minorHAnsi" w:eastAsiaTheme="minorEastAsia" w:hAnsiTheme="minorHAnsi" w:cstheme="minorBidi"/>
          <w:b w:val="0"/>
          <w:noProof/>
          <w:kern w:val="2"/>
          <w:sz w:val="21"/>
        </w:rPr>
      </w:pPr>
      <w:hyperlink w:anchor="_Toc117866387" w:history="1">
        <w:r w:rsidR="002A715F" w:rsidRPr="00D0385A">
          <w:rPr>
            <w:rStyle w:val="a5"/>
            <w:noProof/>
          </w:rPr>
          <w:t>Proposal 2</w:t>
        </w:r>
        <w:r w:rsidR="002A715F">
          <w:rPr>
            <w:rFonts w:asciiTheme="minorHAnsi" w:eastAsiaTheme="minorEastAsia" w:hAnsiTheme="minorHAnsi" w:cstheme="minorBidi"/>
            <w:b w:val="0"/>
            <w:noProof/>
            <w:kern w:val="2"/>
            <w:sz w:val="21"/>
          </w:rPr>
          <w:tab/>
        </w:r>
        <w:r w:rsidR="002A715F" w:rsidRPr="00D0385A">
          <w:rPr>
            <w:rStyle w:val="a5"/>
            <w:noProof/>
          </w:rPr>
          <w:t>R2 further discuss whether to introduce FBG5 with or without the IE of ‘maximum aggregated BW limitation’ based on the evaluation on benefit, with the understanding that both are feasible based on the current R2 signaling framework.</w:t>
        </w:r>
      </w:hyperlink>
    </w:p>
    <w:p w14:paraId="2F566ED3" w14:textId="4396F774" w:rsidR="00D0573B" w:rsidRDefault="00D0573B">
      <w:pPr>
        <w:rPr>
          <w:b/>
          <w:bCs/>
        </w:rPr>
      </w:pPr>
      <w:r>
        <w:fldChar w:fldCharType="end"/>
      </w:r>
    </w:p>
    <w:p w14:paraId="21E65997" w14:textId="77777777" w:rsidR="00D0573B" w:rsidRDefault="00D0573B">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1D07AD88" w14:textId="2E0FF85E" w:rsidR="00D0573B" w:rsidRPr="0031775B" w:rsidRDefault="00C032F1" w:rsidP="00C032F1">
      <w:pPr>
        <w:pStyle w:val="af7"/>
        <w:numPr>
          <w:ilvl w:val="0"/>
          <w:numId w:val="25"/>
        </w:numPr>
        <w:rPr>
          <w:lang w:val="en-US"/>
        </w:rPr>
      </w:pPr>
      <w:r w:rsidRPr="00C032F1">
        <w:rPr>
          <w:lang w:val="en-US"/>
        </w:rPr>
        <w:t>R4-2215160, LS on new contiguous BW classes for legacy networks</w:t>
      </w:r>
      <w:r>
        <w:rPr>
          <w:lang w:val="en-US"/>
        </w:rPr>
        <w:t>.</w:t>
      </w:r>
    </w:p>
    <w:sectPr w:rsidR="00D0573B" w:rsidRPr="0031775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9551" w14:textId="77777777" w:rsidR="007A5FA6" w:rsidRDefault="007A5FA6">
      <w:pPr>
        <w:spacing w:after="0"/>
      </w:pPr>
      <w:r>
        <w:separator/>
      </w:r>
    </w:p>
  </w:endnote>
  <w:endnote w:type="continuationSeparator" w:id="0">
    <w:p w14:paraId="0A498C21" w14:textId="77777777" w:rsidR="007A5FA6" w:rsidRDefault="007A5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84FB" w14:textId="77777777" w:rsidR="007A5FA6" w:rsidRDefault="007A5FA6">
      <w:pPr>
        <w:spacing w:after="0"/>
      </w:pPr>
      <w:r>
        <w:separator/>
      </w:r>
    </w:p>
  </w:footnote>
  <w:footnote w:type="continuationSeparator" w:id="0">
    <w:p w14:paraId="651FC99A" w14:textId="77777777" w:rsidR="007A5FA6" w:rsidRDefault="007A5F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9551FB"/>
    <w:multiLevelType w:val="hybridMultilevel"/>
    <w:tmpl w:val="C03AE520"/>
    <w:lvl w:ilvl="0" w:tplc="BFB8A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12642"/>
    <w:multiLevelType w:val="hybridMultilevel"/>
    <w:tmpl w:val="EE28135E"/>
    <w:lvl w:ilvl="0" w:tplc="11FC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941E5"/>
    <w:multiLevelType w:val="hybridMultilevel"/>
    <w:tmpl w:val="E8A0D5D2"/>
    <w:lvl w:ilvl="0" w:tplc="F118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814A9E"/>
    <w:multiLevelType w:val="hybridMultilevel"/>
    <w:tmpl w:val="B0D68104"/>
    <w:lvl w:ilvl="0" w:tplc="5434D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3742E25"/>
    <w:multiLevelType w:val="hybridMultilevel"/>
    <w:tmpl w:val="254679C4"/>
    <w:lvl w:ilvl="0" w:tplc="5F10763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4F2B83"/>
    <w:multiLevelType w:val="hybridMultilevel"/>
    <w:tmpl w:val="12E64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5765B7"/>
    <w:multiLevelType w:val="hybridMultilevel"/>
    <w:tmpl w:val="C480FF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B6A64"/>
    <w:multiLevelType w:val="hybridMultilevel"/>
    <w:tmpl w:val="99C8F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AC180D"/>
    <w:multiLevelType w:val="multilevel"/>
    <w:tmpl w:val="54AC180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157EF"/>
    <w:multiLevelType w:val="hybridMultilevel"/>
    <w:tmpl w:val="65AAC7AE"/>
    <w:lvl w:ilvl="0" w:tplc="20385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E00B7A"/>
    <w:multiLevelType w:val="hybridMultilevel"/>
    <w:tmpl w:val="D1649440"/>
    <w:lvl w:ilvl="0" w:tplc="FFFFFFFF">
      <w:start w:val="1"/>
      <w:numFmt w:val="bullet"/>
      <w:lvlText w:val=""/>
      <w:lvlJc w:val="left"/>
      <w:pPr>
        <w:ind w:left="704" w:hanging="420"/>
      </w:pPr>
      <w:rPr>
        <w:rFonts w:ascii="Symbol" w:hAnsi="Symbol" w:hint="default"/>
      </w:rPr>
    </w:lvl>
    <w:lvl w:ilvl="1" w:tplc="FFFFFFFF">
      <w:start w:val="2"/>
      <w:numFmt w:val="bullet"/>
      <w:lvlText w:val="-"/>
      <w:lvlJc w:val="left"/>
      <w:pPr>
        <w:ind w:left="1124" w:hanging="420"/>
      </w:pPr>
      <w:rPr>
        <w:rFonts w:ascii="Times New Roman" w:eastAsia="MS Mincho" w:hAnsi="Times New Roman" w:cs="Times New Roman"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BA5A7A"/>
    <w:multiLevelType w:val="hybridMultilevel"/>
    <w:tmpl w:val="6B6C7C2E"/>
    <w:lvl w:ilvl="0" w:tplc="FFFFFFFF">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25"/>
  </w:num>
  <w:num w:numId="3" w16cid:durableId="899944734">
    <w:abstractNumId w:val="8"/>
  </w:num>
  <w:num w:numId="4" w16cid:durableId="923492633">
    <w:abstractNumId w:val="14"/>
  </w:num>
  <w:num w:numId="5" w16cid:durableId="388650328">
    <w:abstractNumId w:val="7"/>
  </w:num>
  <w:num w:numId="6" w16cid:durableId="194120226">
    <w:abstractNumId w:val="13"/>
  </w:num>
  <w:num w:numId="7" w16cid:durableId="706684547">
    <w:abstractNumId w:val="12"/>
  </w:num>
  <w:num w:numId="8" w16cid:durableId="193084676">
    <w:abstractNumId w:val="20"/>
  </w:num>
  <w:num w:numId="9" w16cid:durableId="816410757">
    <w:abstractNumId w:val="33"/>
  </w:num>
  <w:num w:numId="10" w16cid:durableId="653684121">
    <w:abstractNumId w:val="21"/>
  </w:num>
  <w:num w:numId="11" w16cid:durableId="371805985">
    <w:abstractNumId w:val="32"/>
  </w:num>
  <w:num w:numId="12" w16cid:durableId="972979358">
    <w:abstractNumId w:val="18"/>
  </w:num>
  <w:num w:numId="13" w16cid:durableId="808475542">
    <w:abstractNumId w:val="27"/>
  </w:num>
  <w:num w:numId="14" w16cid:durableId="546263116">
    <w:abstractNumId w:val="29"/>
  </w:num>
  <w:num w:numId="15" w16cid:durableId="350226054">
    <w:abstractNumId w:val="4"/>
  </w:num>
  <w:num w:numId="16" w16cid:durableId="1909027091">
    <w:abstractNumId w:val="23"/>
  </w:num>
  <w:num w:numId="17" w16cid:durableId="238295096">
    <w:abstractNumId w:val="0"/>
  </w:num>
  <w:num w:numId="18" w16cid:durableId="687215452">
    <w:abstractNumId w:val="0"/>
  </w:num>
  <w:num w:numId="19" w16cid:durableId="2087678209">
    <w:abstractNumId w:val="30"/>
  </w:num>
  <w:num w:numId="20" w16cid:durableId="419525127">
    <w:abstractNumId w:val="15"/>
  </w:num>
  <w:num w:numId="21" w16cid:durableId="755323464">
    <w:abstractNumId w:val="0"/>
  </w:num>
  <w:num w:numId="22" w16cid:durableId="189224795">
    <w:abstractNumId w:val="0"/>
  </w:num>
  <w:num w:numId="23" w16cid:durableId="1057358412">
    <w:abstractNumId w:val="0"/>
  </w:num>
  <w:num w:numId="24" w16cid:durableId="1422294811">
    <w:abstractNumId w:val="1"/>
  </w:num>
  <w:num w:numId="25" w16cid:durableId="1870876810">
    <w:abstractNumId w:val="17"/>
  </w:num>
  <w:num w:numId="26" w16cid:durableId="1423457256">
    <w:abstractNumId w:val="0"/>
  </w:num>
  <w:num w:numId="27" w16cid:durableId="230889647">
    <w:abstractNumId w:val="0"/>
  </w:num>
  <w:num w:numId="28" w16cid:durableId="1874226968">
    <w:abstractNumId w:val="0"/>
  </w:num>
  <w:num w:numId="29" w16cid:durableId="1530953252">
    <w:abstractNumId w:val="11"/>
  </w:num>
  <w:num w:numId="30" w16cid:durableId="494613722">
    <w:abstractNumId w:val="0"/>
  </w:num>
  <w:num w:numId="31" w16cid:durableId="1372463149">
    <w:abstractNumId w:val="2"/>
  </w:num>
  <w:num w:numId="32" w16cid:durableId="1789200443">
    <w:abstractNumId w:val="26"/>
  </w:num>
  <w:num w:numId="33" w16cid:durableId="588545806">
    <w:abstractNumId w:val="29"/>
  </w:num>
  <w:num w:numId="34" w16cid:durableId="1085758447">
    <w:abstractNumId w:val="3"/>
  </w:num>
  <w:num w:numId="35" w16cid:durableId="2076976709">
    <w:abstractNumId w:val="9"/>
  </w:num>
  <w:num w:numId="36" w16cid:durableId="2071070412">
    <w:abstractNumId w:val="5"/>
  </w:num>
  <w:num w:numId="37" w16cid:durableId="704522490">
    <w:abstractNumId w:val="6"/>
  </w:num>
  <w:num w:numId="38" w16cid:durableId="2110808474">
    <w:abstractNumId w:val="10"/>
  </w:num>
  <w:num w:numId="39" w16cid:durableId="1762529249">
    <w:abstractNumId w:val="31"/>
  </w:num>
  <w:num w:numId="40" w16cid:durableId="1613972496">
    <w:abstractNumId w:val="28"/>
  </w:num>
  <w:num w:numId="41" w16cid:durableId="1769038035">
    <w:abstractNumId w:val="24"/>
  </w:num>
  <w:num w:numId="42" w16cid:durableId="1920672832">
    <w:abstractNumId w:val="22"/>
  </w:num>
  <w:num w:numId="43" w16cid:durableId="1115295472">
    <w:abstractNumId w:val="19"/>
  </w:num>
  <w:num w:numId="44" w16cid:durableId="8435902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gFACrCiyw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15F"/>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4E07"/>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5FA6"/>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A7DD9"/>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6DB4"/>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49C"/>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3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99</TotalTime>
  <Pages>3</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5896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17</cp:revision>
  <cp:lastPrinted>2008-01-31T16:09:00Z</cp:lastPrinted>
  <dcterms:created xsi:type="dcterms:W3CDTF">2022-02-07T10:46:00Z</dcterms:created>
  <dcterms:modified xsi:type="dcterms:W3CDTF">2022-10-31T07:59:00Z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